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91</w:t>
      </w:r>
    </w:p>
    <w:p>
      <w:r>
        <w:t>Bundesgericht (BGE), 1991-02-20, DE</w:t>
      </w:r>
    </w:p>
    <w:p>
      <w:r>
        <w:rPr>
          <w:b/>
        </w:rPr>
        <w:t xml:space="preserve">Quelle: </w:t>
      </w:r>
      <w:r>
        <w:t>https://mcp.opencaselaw.ch/entscheid/bge_118 II 91</w:t>
      </w:r>
    </w:p>
    <w:p>
      <w:r>
        <w:t>FR: ATF 118 II 91</w:t>
      </w:r>
    </w:p>
    <w:p>
      <w:r>
        <w:t>IT: DTF 118 II 91</w:t>
      </w:r>
    </w:p>
    <w:p>
      <w:pPr>
        <w:pStyle w:val="Heading2"/>
      </w:pPr>
      <w:r>
        <w:t>Regeste</w:t>
      </w:r>
    </w:p>
    <w:p>
      <w:r>
        <w:t>Regeste Berufung gegen einen Zwischenentscheid (Art. 50 OG). Voraussetzungen (E. 1a). Die Nichtanfechtung eines Vor- oder Zwischenentscheides führt zu keinem prozessualen Nachteil (E. 1b).</w:t>
      </w:r>
    </w:p>
    <w:p>
      <w:pPr>
        <w:pStyle w:val="Heading2"/>
      </w:pPr>
      <w:r>
        <w:t>Erwägungen</w:t>
      </w:r>
    </w:p>
    <w:p>
      <w:r>
        <w:rPr>
          <w:b/>
        </w:rPr>
        <w:t>E. 1</w:t>
      </w:r>
    </w:p>
    <w:p>
      <w:r>
        <w:t>a) Beim angefochtenen Urteil handelt es sich um einen selbständigen Vor- oder Zwischenentscheid, gegen den die Berufung gemäss Art. 50 Abs. 1 OG nur zulässig ist, wenn dadurch sofort ein BGE 118 II 91 S. 92 Endentscheid herbeigeführt und ein so bedeutender Aufwand an Zeit oder Kosten für ein weitläufiges Beweisverfahren erspart werden kann, dass die gesonderte Anrufung des Bundesgerichts gerechtfertigt erscheint. Das Bundesgericht entscheidet über diese Voraussetzungen nach freiem Ermessen ( Art. 50 Abs. 2 OG ). Bei der Ermessensbetätigung sind die Gesamtumstände zu würdigen, was nach einer gewissen Flexibilität ruft. Auf eine Berufung kann von vornherein nicht eingetreten werden, wenn der Berufungskläger überhaupt nicht dartut, warum ein Ausnahmefall vorliegt, mithin die Eintretensfrage schlechthin übersieht. Wo er aber ausdrücklich geltend macht, die Bedingungen von Art. 50 OG seien erfüllt, ist zu differenzieren. Liegt es klar auf der Hand, dass ein bedeutender Aufwand an Zeit und Kosten für ein weitläufiges Beweisverfahren erforderlich sein wird, d.h. geht das bereits unzweifelhaft aus dem angefochtenen Urteil oder aus der Natur des Falles hervor, so darf auf lange Ausführungen verzichtet werden. Andernfalls hat der Berufungskläger im einzelnen darzutun, welche Tatfragen offen sind und welche weitläufigen Beweiserhebungen in welchem zeitlichen und kostenmässigen Umfang erforderlich sind ( BGE 116 II 741 E. 1). Zudem hat er unter Angabe der Fundstelle nachzuweisen, dass er die betreffenden Beweise im kantonalen Verfahren bereits angerufen oder entsprechende Anträge in Aussicht gestellt hat. b) Art. 50 Abs. 1 OG enthält eine Ausnahmebestimmung, die restriktiv auszulegen ist. Das gilt umso mehr, als die Prozessparteien keiner Rechte verlustig gehen, wenn sie einen Vor- oder Zwischenentscheid der obern kantonalen Gerichte oder sonstigen Spruchbehörden nicht anfechten. Sie können mithin sämtliche Einwendungen in einer Berufung gegen den letztinstanzlichen Endentscheid gemäss Art. 48 Abs. 1 OG vorbringen. Diese Möglichkeit steht ihnen selbstredend auch offen, wenn das Bundesgericht auf eine Berufung nach Art. 50 Abs. 1 OG nicht eingetreten ist. Art. 48 Abs. 3 OG zweiter Halbsatz kommt in einem solchen Fall nicht zum Tragen. c) Vorliegend sind die gesetzlichen Voraussetzungen für die Behandlung der Berufung gegen den Zwischenentscheid des Appellationshofes nicht rechtsgenüglich dargetan. Die Beklagte macht lediglich geltend, bei Klageabweisung erübrige sich ein Beweisverfahren. Inwieweit dieses weitläufig, zeitaufwendig oder kostspielig sein soll, ist weder dargetan noch offenkundig.</w:t>
      </w:r>
    </w:p>
    <w:p>
      <w:r>
        <w:rPr>
          <w:b/>
        </w:rPr>
        <w:t>E. 2</w:t>
      </w:r>
    </w:p>
    <w:p>
      <w:r>
        <w:t>Bei diesem Ausgang kann grundsätzlich offenbleiben, ob es im aktuellen Fall nicht schon am Nachweis fehlt, dass die Beurteilung BGE 118 II 91 S. 93 der Berufung sofort zu einem Endentscheid führt. Der Appellationshof hat im angefochtenen Zwischenentscheid lediglich Tatfragen beurteilt, nämlich die Arbeitsunfähigkeit ( BGE 111 II 301 E. 3) und den natürlichen Kausalzusammenhang ( BGE 113 II 351 E. a). Soweit in einer Berufung zulässige Sachverhaltsrügen (offensichtliches Versehen, Verletzung bundesrechtlicher Beweisvorschriften, unvollständige Feststellung des Sachverhalts; vgl. dazu BGE 115 II 485 E. 2a) vorgebracht werden, kann das Bundesgericht in der Regel nicht selbst einen Entscheid fällen, sondern muss den Fall an die Vorinstanz zur Neubeurteilung unter den Gesichtspunkten des zu berichtigenden oder zu ergänzenden Sachverhalts zurückweisen.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